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31"/>
        <w:bidi w:val="0"/>
        <w:rPr/>
      </w:pPr>
      <w:r>
        <w:rPr/>
        <w:t>Зарегистрировано в Минюсте России 22 августа 2023 г. N 74906</w:t>
      </w:r>
    </w:p>
    <w:p>
      <w:pPr>
        <w:pStyle w:val="Style31"/>
        <w:bidi w:val="0"/>
        <w:spacing w:lineRule="atLeast" w:line="285" w:before="165" w:after="0"/>
        <w:jc w:val="both"/>
        <w:rPr>
          <w:b w:val="false"/>
        </w:rPr>
      </w:pPr>
      <w:r>
        <w:rPr>
          <w:b w:val="false"/>
        </w:rPr>
        <w:t xml:space="preserve">------------------------------------------------------------------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МИНИСТЕРСТВО ПРОСВЕЩЕНИЯ РОССИЙСКОЙ ФЕДЕРАЦИИ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ПРИКАЗ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от 19 июля 2023 г. N 548 </w:t>
      </w:r>
    </w:p>
    <w:p>
      <w:pPr>
        <w:pStyle w:val="Style31"/>
        <w:bidi w:val="0"/>
        <w:spacing w:lineRule="auto" w:line="312" w:before="0" w:after="283"/>
        <w:jc w:val="center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ОБ УТВЕРЖДЕНИИ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ФЕДЕРАЛЬНОГО ГОСУДАРСТВЕННОГО ОБРАЗОВАТЕЛЬНОГО СТАНДАРТА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38.02.08 ТОРГОВОЕ ДЕЛО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2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В соответствии с </w:t>
      </w:r>
      <w:hyperlink r:id="rId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подпунктом 4.2.30 пункта 4</w:t>
        </w:r>
      </w:hyperlink>
      <w:r>
        <w:rPr>
          <w:b w:val="false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27</w:t>
        </w:r>
      </w:hyperlink>
      <w:r>
        <w:rPr>
          <w:b w:val="false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 Утвердить прилагаемый федеральный государственный образовательный </w:t>
      </w:r>
      <w:hyperlink w:anchor="p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профессионального образования по специальности 38.02.08 Торговое дело (далее - стандарт).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 Установить, что: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образовательная организация вправе осуществлять в соответствии со </w:t>
      </w:r>
      <w:hyperlink w:anchor="p3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обучение лиц, зачисленных до вступления в силу настоящего приказа, с их согласия;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прием на обучение в соответствии с федеральным государственным образовательным </w:t>
      </w:r>
      <w:hyperlink r:id="rId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38.02.04</w:t>
        </w:r>
      </w:hyperlink>
      <w:r>
        <w:rPr>
          <w:b w:val="false"/>
        </w:rPr>
        <w:t xml:space="preserve"> Коммерция (по отраслям), утвержденным приказом Министерства образования и науки Российской Федерации от 15 мая 2014 г. N 539 (зарегистрирован Министерством юстиции Российской Федерации 25 июня 2014 г., регистрационный N 32855), с изменениями, внесенными приказами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 и от 1 сентября 2022 г. N 796 (зарегистрирован Министерством юстиции Российской Федерации 11 октября 2022 г., регистрационный N 70461), и федеральным государственным образовательным </w:t>
      </w:r>
      <w:hyperlink r:id="rId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стандартом</w:t>
        </w:r>
      </w:hyperlink>
      <w:r>
        <w:rPr>
          <w:b w:val="false"/>
        </w:rPr>
        <w:t xml:space="preserve"> среднего профессионального образования по специальности </w:t>
      </w:r>
      <w:hyperlink r:id="rId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38.02.05</w:t>
        </w:r>
      </w:hyperlink>
      <w:r>
        <w:rPr>
          <w:b w:val="false"/>
        </w:rPr>
        <w:t xml:space="preserve"> Товароведение и экспертиза качества потребительских товаров, утвержденным приказом Министерства образования и науки Российской Федерации от 28 июля 2014 г. N 835 (зарегистрирован Министерством юстиции Российской Федерации 25 августа 2014 г., регистрационный N 33769), с изменениями, внесенными приказом Министерства просвещения Российской Федерации от 13 июля 2021 г. N 450 (зарегистрирован Министерством юстиции Российской Федерации 14 октября 2021 г., регистрационный N 65410), прекращается с 31 декабря 2023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Исполняющий обязанности Министра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А.В.БУГАЕВ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Утвержден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приказом Министерства просвещения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Российской Федерации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от 19 июля 2023 г. N 548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bookmarkStart w:id="0" w:name="p33"/>
      <w:bookmarkEnd w:id="0"/>
      <w:r>
        <w:rPr>
          <w:rFonts w:ascii="Arial" w:hAnsi="Arial"/>
          <w:b/>
          <w:sz w:val="24"/>
        </w:rPr>
        <w:t xml:space="preserve">ФЕДЕРАЛЬНЫЙ ГОСУДАРСТВЕННЫЙ ОБРАЗОВАТЕЛЬНЫЙ СТАНДАРТ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СРЕДНЕГО ПРОФЕССИОНАЛЬНОГО ОБРАЗОВАНИЯ ПО СПЕЦИАЛЬНОСТИ </w:t>
      </w:r>
    </w:p>
    <w:p>
      <w:pPr>
        <w:pStyle w:val="Style31"/>
        <w:bidi w:val="0"/>
        <w:spacing w:lineRule="auto" w:line="312" w:before="0" w:after="2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38.02.08 ТОРГОВОЕ ДЕЛО </w:t>
      </w:r>
    </w:p>
    <w:p>
      <w:pPr>
        <w:pStyle w:val="Style31"/>
        <w:bidi w:val="0"/>
        <w:spacing w:lineRule="atLeast" w:line="285"/>
        <w:rPr/>
      </w:pPr>
      <w:r>
        <w:rPr/>
        <w:t> 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Список изменяющих документов </w:t>
            </w:r>
          </w:p>
          <w:p>
            <w:pPr>
              <w:pStyle w:val="Style59"/>
              <w:bidi w:val="0"/>
              <w:spacing w:before="0" w:after="283"/>
              <w:jc w:val="center"/>
              <w:rPr/>
            </w:pPr>
            <w:r>
              <w:rPr/>
              <w:t xml:space="preserve">(в ред. </w:t>
            </w:r>
            <w:hyperlink r:id="rId9">
              <w:r>
                <w:rPr>
                  <w:rStyle w:val="-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/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I. ОБЩИЕ ПОЛОЖЕНИЯ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bookmarkStart w:id="1" w:name="p41"/>
      <w:bookmarkEnd w:id="1"/>
      <w:r>
        <w:rPr>
          <w:b w:val="false"/>
        </w:rP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1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38.02.08</w:t>
        </w:r>
      </w:hyperlink>
      <w:r>
        <w:rPr>
          <w:b w:val="false"/>
        </w:rPr>
        <w:t xml:space="preserve"> Торговое дело (далее соответственно - ФГОС СПО, образовательная программа, специальность) в соответствии с квалификацией специалиста среднего звена "специалист торгового дела" &lt;1&gt;.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&lt;1&gt; </w:t>
      </w:r>
      <w:hyperlink r:id="rId1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Перечень</w:t>
        </w:r>
      </w:hyperlink>
      <w:r>
        <w:rPr>
          <w:b w:val="false"/>
        </w:rP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(зарегистрирован Министерством юстиции Российской Федерации 17 июня 2022 г., регистрационный N 68887), с изменениями, внесенными приказом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12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стандарта</w:t>
        </w:r>
      </w:hyperlink>
      <w:r>
        <w:rPr>
          <w:b w:val="false"/>
        </w:rP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3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&lt;2&gt; Федеральный государственный образовательный </w:t>
      </w:r>
      <w:hyperlink r:id="rId1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стандарт</w:t>
        </w:r>
      </w:hyperlink>
      <w:r>
        <w:rPr>
          <w:b w:val="false"/>
        </w:rP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 </w:t>
      </w:r>
    </w:p>
    <w:tbl>
      <w:tblPr>
        <w:tblW w:w="768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7688"/>
      </w:tblGrid>
      <w:tr>
        <w:trPr/>
        <w:tc>
          <w:tcPr>
            <w:tcW w:w="768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(в ред. </w:t>
            </w:r>
            <w:hyperlink r:id="rId15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1.4. Обучение по образовательной программе в образовательной организации осуществляется в очной, очно-заочной и заочной формах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1.6. Реализация образовательной программы осуществляется образовательной организацией как самостоятельно, так и посредством сетевой формы.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деятельность при освоении образовательной программы или отдельных ее компонентов организуется в форме практической подготовки.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1.7. Воспитание обучающихся при освоении ими образовательной программы осуществляется на основе включаемых в образовательные программы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&lt;3&gt; </w:t>
      </w:r>
      <w:hyperlink r:id="rId1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2 статьи 12.1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&lt;4&gt; </w:t>
      </w:r>
      <w:hyperlink r:id="rId1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Статья 14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bookmarkStart w:id="2" w:name="p65"/>
      <w:bookmarkEnd w:id="2"/>
      <w:r>
        <w:rPr>
          <w:b w:val="false"/>
        </w:rPr>
        <w:t xml:space="preserve"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среднего общего образования - 1 год 10 месяцев;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базе основного общего образования - 2 года 10 месяцев.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Срок получения образования по образовательной программе в очно-заочной и заочной формах обучения, вне зависимости от применяемых образовательных технологий, увеличивается по сравнению со сроком получения образования в очной форме обучения не более чем на 1 год.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1.10. При обучении по индивидуальному учебному плану срок получения образования по образовательной программе, вне зависимости от формы обучения, составляет не более срока получения образования, установленного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один год по сравнению со сроком получения образования для соответствующей формы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6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1.9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&lt;5&gt; </w:t>
      </w:r>
      <w:hyperlink r:id="rId1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 11</w:t>
        </w:r>
      </w:hyperlink>
      <w:r>
        <w:rPr>
          <w:b w:val="false"/>
        </w:rP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bookmarkStart w:id="3" w:name="p77"/>
      <w:bookmarkEnd w:id="3"/>
      <w:r>
        <w:rPr>
          <w:b w:val="false"/>
        </w:rPr>
        <w:t xml:space="preserve">1.14. Области профессиональной деятельности, в которых выпускники, освоившие образовательную программу, могут осуществлять профессиональную деятельность: </w:t>
      </w:r>
      <w:hyperlink r:id="rId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08</w:t>
        </w:r>
      </w:hyperlink>
      <w:r>
        <w:rPr>
          <w:b w:val="false"/>
        </w:rPr>
        <w:t xml:space="preserve"> Финансы и экономика; </w:t>
      </w:r>
      <w:hyperlink r:id="rId20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33</w:t>
        </w:r>
      </w:hyperlink>
      <w:r>
        <w:rPr>
          <w:b w:val="false"/>
        </w:rP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прочее) &lt;6&gt;.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&lt;6&gt; </w:t>
      </w:r>
      <w:hyperlink r:id="rId2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Таблица</w:t>
        </w:r>
      </w:hyperlink>
      <w:r>
        <w:rPr>
          <w:b w:val="false"/>
        </w:rP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II. ТРЕБОВАНИЯ К СТРУКТУРЕ 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2.1. Структура и объем образовательной программы </w:t>
      </w:r>
      <w:hyperlink w:anchor="p9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(таблица N 1)</w:t>
        </w:r>
      </w:hyperlink>
      <w:r>
        <w:rPr>
          <w:b w:val="false"/>
        </w:rPr>
        <w:t xml:space="preserve">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дисциплины (модули);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государственную итоговую аттестацию.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1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4" w:name="p93"/>
      <w:bookmarkEnd w:id="4"/>
      <w:r>
        <w:rPr/>
        <w:t xml:space="preserve">Структура и объем образовательной программы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907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6300"/>
        <w:gridCol w:w="2775"/>
      </w:tblGrid>
      <w:tr>
        <w:trPr/>
        <w:tc>
          <w:tcPr>
            <w:tcW w:w="6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Структура образовательной программы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Объем образовательной программы, в академических часах </w:t>
            </w:r>
          </w:p>
        </w:tc>
      </w:tr>
      <w:tr>
        <w:trPr/>
        <w:tc>
          <w:tcPr>
            <w:tcW w:w="6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Дисциплины (модули)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1260 </w:t>
            </w:r>
          </w:p>
        </w:tc>
      </w:tr>
      <w:tr>
        <w:trPr/>
        <w:tc>
          <w:tcPr>
            <w:tcW w:w="6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Практика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Не менее 360 </w:t>
            </w:r>
          </w:p>
        </w:tc>
      </w:tr>
      <w:tr>
        <w:trPr/>
        <w:tc>
          <w:tcPr>
            <w:tcW w:w="6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Государственная итоговая аттестация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216 </w:t>
            </w:r>
          </w:p>
        </w:tc>
      </w:tr>
      <w:tr>
        <w:trPr/>
        <w:tc>
          <w:tcPr>
            <w:tcW w:w="6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Общий объем образовательной программы: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  </w:t>
            </w:r>
          </w:p>
        </w:tc>
      </w:tr>
      <w:tr>
        <w:trPr/>
        <w:tc>
          <w:tcPr>
            <w:tcW w:w="6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среднего общего образования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2952 </w:t>
            </w:r>
          </w:p>
        </w:tc>
      </w:tr>
      <w:tr>
        <w:trPr/>
        <w:tc>
          <w:tcPr>
            <w:tcW w:w="6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стандарта среднего общего образования </w:t>
            </w:r>
          </w:p>
        </w:tc>
        <w:tc>
          <w:tcPr>
            <w:tcW w:w="27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4428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2.2. Образовательная программа включает: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социально-гуманитарный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общепрофессиональный цикл;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профессиональный цикл.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2.3. В рамках образовательной программы выделяются обязательная часть и часть, формируемая участниками образовательных отношений (вариативная часть).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4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главой III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Объем обязательной части без учета объема государственной итоговой аттестации должен составлять не более 60 процентов от общего объема времени, отведенного на освоение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Вариативная часть образовательной программы объемом не менее 40 процентов от общего объема времени, отведенного на освоение образовательной программы, дает возможность дальнейшего развития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регионального рынка труда, а также с учетом требований цифровой экономики.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bookmarkStart w:id="5" w:name="p119"/>
      <w:bookmarkEnd w:id="5"/>
      <w:r>
        <w:rPr>
          <w:b w:val="false"/>
        </w:rPr>
        <w:t xml:space="preserve"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и осуществление торговой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товароведение и организация экспертизы качества потребительских товаров (по выбору);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и осуществление предпринимательской деятельности в сфере торговли (по выбору);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осуществление продаж потребительских товаров и координация работы с клиентами (по выбору);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осуществление продаж автотранспортных средств, космических продуктов, услуг и технологий и координация работы с клиентами (по выбору);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осуществление продаж информационно-коммуникационных продуктов и технологий и координация работы с клиентами (по выбору);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и осуществление интернет-маркетинга (по выбору);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организация и осуществление выставочной деятельности (по выбору).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2.4</w:t>
        </w:r>
      </w:hyperlink>
      <w:r>
        <w:rPr>
          <w:b w:val="false"/>
        </w:rPr>
        <w:t xml:space="preserve"> ФГОС СПО, в рамках вариативной части.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2.8. Обязательная часть общепрофессионального цикла образовательной программы должна предусматривать изучение следующих дисциплин: "Экономика и основы анализа финансово-хозяйственной деятельности торговой организации"; "Прикладные компьютерные программы в профессиональной деятельности"; "Эксплуатация торгово-технологического оборудования и охрана труда"; "Автоматизация торгово-технологических процессов"; "Основы предпринимательства"; "Правовое обеспечение профессиональной деятельности".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5 зачетных единиц.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чередуясь с учебными занятиями. Типы практики устанавливаются образовательной организацией самостоятельно с учетом ПОП.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2.12. Государственная итоговая аттестация проводится в форме демонстрационного экзамена и защиты дипломного проекта (работы).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41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</w:t>
        </w:r>
      </w:hyperlink>
      <w:r>
        <w:rPr>
          <w:b w:val="false"/>
        </w:rPr>
        <w:t xml:space="preserve"> ФГОС СПО.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bookmarkStart w:id="6" w:name="p143"/>
      <w:bookmarkEnd w:id="6"/>
      <w:r>
        <w:rPr>
          <w:rFonts w:ascii="Arial" w:hAnsi="Arial"/>
          <w:b/>
          <w:sz w:val="24"/>
        </w:rPr>
        <w:t>III. ТРЕБОВАНИЯ К РЕЗУЛЬТАТАМ ОСВОЕНИЯ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3.1. В результате освоения образовательной программы у выпускника должны быть сформированы общие и профессиональные компетенции.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3.2. Выпускник, освоивший образовательную программу, должен обладать следующими общими компетенциями (далее - ОК):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04. Эффективно взаимодействовать и работать в коллективе и команде;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ОК 09. Пользоваться профессиональной документацией на государственном и иностранном языках.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3.3. Выпускник, освоивший образовательную программу, должен обладать профессиональными компетенциями (далее - ПК), соответствующими выбранным видам деятельности (таблица N 2), предусмотренным пунктом 2.4 ФГОС СПО, сформированными в том числе на основе профессиональных стандартов (при наличии), указанных в ПОП: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right"/>
        <w:rPr>
          <w:b w:val="false"/>
        </w:rPr>
      </w:pPr>
      <w:r>
        <w:rPr>
          <w:b w:val="false"/>
        </w:rPr>
        <w:t xml:space="preserve">Таблица N 2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tbl>
      <w:tblPr>
        <w:tblW w:w="10205" w:type="dxa"/>
        <w:jc w:val="left"/>
        <w:tblInd w:w="0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483"/>
        <w:gridCol w:w="5722"/>
      </w:tblGrid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Виды деятельности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before="0" w:after="283"/>
              <w:ind w:left="60" w:right="60" w:hanging="0"/>
              <w:jc w:val="center"/>
              <w:rPr/>
            </w:pPr>
            <w:r>
              <w:rPr/>
              <w:t xml:space="preserve">Профессиональные компетенции, соответствующие видам деятельности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и осуществление торговой деятельности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1.1. Проводить сбор и анализ информации о потребностях субъектов рынка на товары и услуги, в том числе с использованием цифровых и информационных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1.2. Устанавливать хозяйственные связи с поставщиками и потребителями товаров и услуг, в том числе с применением коммуникативных возможностей искусственного интеллекта.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1.3. Осуществлять подготовку, оформление и проверку закупочной документации, в том числе с использованием электронного документооборота и сквозных цифровых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1.4. Осуществлять подготовку к заключению внешнеторгового контракта и его документальное сопровождение.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1.5. Осуществлять контроль исполнения обязательств по внешнеторговому контракту.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1.6. Организовывать выполнение торгово-технологических процессов, в том числе с применением цифровых технологий.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товароведение и организация экспертизы качества потребительских товаров (по выбору)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2.1. Осуществлять кодирование товаров, в том числе с применением цифровых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ПК. 2.2. Идентифицировать ассортиментную принадлежность потребительских товаров.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2.3. Создавать условия для сохранности количественных и качественных характеристик товара в соответствии с требованиями действующих санитарных правил на разных этапах товародвижения.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2.4. Выполнять операции по оценке качества и организации экспертизы потребительских товаров.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2.5. Осуществлять управление ассортиментом товаров, в том числе с использованием искусственного интеллекта и сквозных цифровых технологий.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и осуществление предпринимательской деятельности в сфере торговли (по выбору)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2.1. Проводить маркетинговые исследования с использованием инструментов комплекса маркетинга.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2.2. Разрабатывать предложения по улучшению системы продвижения товаров (услуг) организации.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2.3. Проводить сбор, мониторинг и систематизацию ценовых показателей товаров, в том числе с использованием информационных интеллектуальных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2.4 Устанавливать конкурентные преимущества товара на внутреннем и внешних рынках.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2.5. Разрабатывать бизнес-план и финансовую модель деятельности предпринимательской единицы, в том числе с применением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2.6. Рассчитывать показатели эффективности предпринимательской деятельности, в том числе с применением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2.7. Определять мероприятия по повышению эффективности предпринимательской деятельности.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2.8. Собирать информацию о бизнес-проблемах и определять риски предпринимательской единицы.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осуществление продаж потребительских товаров и координация работы с клиентами (по выбору)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Осуществлять формирование клиентской базы и ее актуализацию на основе информации о потенциальных клиентах и их потребностях, в том числе с использованием цифровых и информационных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Осуществлять эффективное взаимодействие с клиентами в процессе ведения преддоговорной работы и продажи товаров.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3.3. Обеспечивать эффективное взаимодействие с клиентами (покупателями) в процессе продажи товаров, в том числе с использованием специализированных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3.4. Реализовывать мероприятия для обеспечения выполнения плана продаж.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3.5. Обеспечивать реализацию мероприятий по стимулированию покупательского спроса.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3.6. Осуществлять контроль состояния товарных запасов, в том числе с применением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3.7. Составлять аналитические отчеты по продажам, в том числе с применением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3.8. Организовывать послепродажное консультационно-информационное сопровождение клиентов, в том числе с использованием цифровых и информационных технологий.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осуществление продаж автотранспортных средств, космических продуктов, услуг и технологий и координация работы с клиентами (по выбору)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Осуществлять формирование клиентской базы и ее актуализацию на основе информации о потенциальных клиентах и их потребностях, в том числе с использованием цифровых и информационных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Осуществлять эффективное взаимодействие с клиентами в процессе ведения преддоговорной работы и продажи товаров.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3.3. Обеспечивать эффективное взаимодействие с клиентами в процессе оказания услуги продажи и (или) выкупа товаров, в том числе с использованием специализированных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3.4. Реализовывать мероприятия для обеспечения выполнения плана продаж.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3.5. Обеспечивать реализацию мероприятий по стимулированию покупательского спроса.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3.6. Осуществлять контроль состояния товарных запасов, в том числе с применением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3.7. Составлять аналитические отчеты по продажам, в том числе с применением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3.8. Организовывать послепродажное консультационно-информационное сопровождение клиентов, в том числе с использованием цифровых и информационных технологий.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осуществление продаж информационно-коммуникационных продуктов и технологий и координация работы с клиентами (по выбору)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Осуществлять сопровождение базы данных инфокоммуникационных систем и (или) их составляющих, в том числе с использованием цифровых и информационных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Осуществлять эффективное взаимодействие с клиентами в процессе ведения преддоговорной работы и продажи товаров.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3.3. Осуществлять подготовку коммерческих предложений и проведением презентаций инфокоммуникационных продуктов и (или) их составляющих потенциальным клиентам.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3.4. Реализовывать мероприятия для обеспечения выполнения плана продаж.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3.5. Консультировать клиентов по использованию и возможностям инфокоммуникационных продуктов и (или) их составляющих.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3.6. Осуществлять контроль всего цикла продаж инфокоммуникационных продуктов и (или) их составляющих, в том числе с использование специализированных программных продуктов.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3.7. Организовывать продажи инфокоммуникационных систем и (или) их составляющих в новых каналах сбыта, в том числе с использованием цифровых и информационных технологий.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и осуществление интернет-маркетинга (по выбору)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Определять готовность веб-сайта к продвижению.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Анализировать интернет-пространство, а также поведение пользователей при поиске необходимой информации в информационно-телекоммуникационной сети "Интернет.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3.3. Разрабатывать стратегии проведения контекстно-медийной и медийной кампаний и их реализации в сети Интернет.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3.4. Проводить рекламные кампании в социальных медиа для привлечения пользователей в интернет-сообщество.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3.5. Составлять технические задания в соответствии с требованиями заказчика.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3.6. Проводить аналитические работы по реализации стратегий продвижения в информационно-телекоммуникационной сети "Интернет". </w:t>
            </w:r>
          </w:p>
        </w:tc>
      </w:tr>
      <w:tr>
        <w:trPr/>
        <w:tc>
          <w:tcPr>
            <w:tcW w:w="4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rPr/>
            </w:pPr>
            <w:r>
              <w:rPr/>
              <w:t xml:space="preserve">организация и осуществление выставочной деятельности (по выбору) </w:t>
            </w:r>
          </w:p>
        </w:tc>
        <w:tc>
          <w:tcPr>
            <w:tcW w:w="57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pStyle w:val="Style59"/>
              <w:bidi w:val="0"/>
              <w:spacing w:lineRule="atLeast" w:line="285" w:before="0" w:after="283"/>
              <w:ind w:left="60" w:right="60" w:hanging="0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3.1. Осуществлять формирование, ведение клиентской базы, а также мероприятий деловой и дополнительной программы выставок и их актуализацию, в том числе с использованием цифровых и информационных технологий.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3.2. Оформлять маркетинговые материалы о торгово-промышленных выставках.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3.3. Оформлять заявочные и платежные документы участников торгово-промышленной выставки.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3.4. Проводить рекламные кампании в социальных медиа для привлечения пользователей в интернет-сообщество.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3.5. Организовывать проведение торгово-промышленной выставки в соответствии с заявленной программой и соглашениями с соблюдением требований нормативных правовых актов в сфере безопасности жизнедеятельности, экологии и здравоохранения.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3.6. Осуществлять контроль исполнения клиентами обязательств по оплате участия в торгово-промышленной выставке. </w:t>
            </w:r>
          </w:p>
          <w:p>
            <w:pPr>
              <w:pStyle w:val="Style59"/>
              <w:bidi w:val="0"/>
              <w:spacing w:lineRule="atLeast" w:line="285" w:before="0" w:after="283"/>
              <w:jc w:val="both"/>
              <w:rPr>
                <w:b w:val="false"/>
              </w:rPr>
            </w:pPr>
            <w:r>
              <w:rPr>
                <w:b w:val="false"/>
              </w:rPr>
              <w:t xml:space="preserve">ПК 3.7. Консультировать участников торгово-промышленной выставки по вопросам оптимальной организации их участия. </w:t>
            </w:r>
          </w:p>
        </w:tc>
      </w:tr>
    </w:tbl>
    <w:tbl>
      <w:tblPr>
        <w:tblW w:w="8398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398"/>
      </w:tblGrid>
      <w:tr>
        <w:trPr/>
        <w:tc>
          <w:tcPr>
            <w:tcW w:w="8398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/>
              <w:t xml:space="preserve">  </w:t>
            </w:r>
          </w:p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(п. 3.3 в ред. </w:t>
            </w:r>
            <w:hyperlink r:id="rId22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/>
      </w:pPr>
      <w:r>
        <w:rPr>
          <w:b w:val="false"/>
        </w:rP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пунктом 2.4</w:t>
        </w:r>
      </w:hyperlink>
      <w:r>
        <w:rPr>
          <w:b w:val="false"/>
        </w:rPr>
        <w:t xml:space="preserve"> ФГОС СПО, а также по видам деятельности, сформированным в вариативной части образовательной программы образовательной организацией для учета потребностей регионального рынка труда.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обучение. &lt;7&gt;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&lt;7&gt; </w:t>
      </w:r>
      <w:hyperlink r:id="rId23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Часть 7 статьи 73</w:t>
        </w:r>
      </w:hyperlink>
      <w:r>
        <w:rPr>
          <w:b w:val="false"/>
        </w:rPr>
        <w:t xml:space="preserve"> Федерального закона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IV. ТРЕБОВАНИЯ К УСЛОВИЯМ РЕАЛИЗАЦИИ</w:t>
      </w:r>
      <w:r>
        <w:rPr/>
        <w:t xml:space="preserve"> </w:t>
      </w:r>
    </w:p>
    <w:p>
      <w:pPr>
        <w:pStyle w:val="Style31"/>
        <w:bidi w:val="0"/>
        <w:spacing w:before="0" w:after="283"/>
        <w:jc w:val="center"/>
        <w:rPr/>
      </w:pPr>
      <w:r>
        <w:rPr>
          <w:rFonts w:ascii="Arial" w:hAnsi="Arial"/>
          <w:b/>
          <w:sz w:val="24"/>
        </w:rPr>
        <w:t>ОБРАЗОВАТЕЛЬНОЙ ПРОГРАММЫ</w:t>
      </w:r>
      <w:r>
        <w:rPr/>
        <w:t xml:space="preserve">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действующими санитарными нормами и правилами. &lt;8&gt;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&lt;8&gt; Федеральный </w:t>
      </w:r>
      <w:hyperlink r:id="rId24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</w:t>
        </w:r>
      </w:hyperlink>
      <w:r>
        <w:rPr>
          <w:b w:val="false"/>
        </w:rPr>
        <w:t xml:space="preserve"> от 30 марта 1999 г. N 52-ФЗ "О санитарно-эпидемиологическом благополучии населения"; санитарные правила </w:t>
      </w:r>
      <w:hyperlink r:id="rId25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СП 2.4.3648-20</w:t>
        </w:r>
      </w:hyperlink>
      <w:r>
        <w:rPr>
          <w:b w:val="false"/>
        </w:rP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действующие до 1 января 2027 г.; санитарно-эпидемиологические правила и нормы </w:t>
      </w:r>
      <w:hyperlink r:id="rId26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2.3/2.4.3590-20</w:t>
        </w:r>
      </w:hyperlink>
      <w:r>
        <w:rPr>
          <w:b w:val="false"/>
        </w:rP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действующие до 1 января 2027 г.; санитарные правила и нормы </w:t>
      </w:r>
      <w:hyperlink r:id="rId2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СанПиН 1.2.3685-21</w:t>
        </w:r>
      </w:hyperlink>
      <w:r>
        <w:rPr>
          <w:b w:val="false"/>
        </w:rP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года.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4.3. Общесистемные требования к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4.4. Требования к материально-техническому и учебно-методическому обеспечению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г) допускается замена оборудования его виртуальными аналогами;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ж) в качестве основной литературы образовательная организация использует учебники, учебные пособия, предусмотренные ПОП;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процентов обучающихся к цифровой (электронной) библиотеке;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м) рекомендации по иному материально-техническому и учебно-методическому обеспечению реализации образовательной программы определяются ПОП.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4.5. Требования к кадровым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одной из областей профессиональной деятельности, указанных в </w:t>
      </w:r>
      <w:hyperlink w:anchor="p7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 (имеющих стаж работы в данной профессиональной области не менее трех лет);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г) доля педагогических работников (в приведенных к целочисленным значениям ставок), имеющих опыт деятельности не менее 3 лет в организациях, направление деятельности которых соответствует одной из областей профессиональной деятельности, указанных в </w:t>
      </w:r>
      <w:hyperlink w:anchor="p77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пункте 1.14</w:t>
        </w:r>
      </w:hyperlink>
      <w:r>
        <w:rPr>
          <w:b w:val="false"/>
        </w:rP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4.6. Требование к финансовым условиям реализации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Федерации &lt;9&gt; и Федеральным </w:t>
      </w:r>
      <w:hyperlink r:id="rId28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законом</w:t>
        </w:r>
      </w:hyperlink>
      <w:r>
        <w:rPr>
          <w:b w:val="false"/>
        </w:rPr>
        <w:t xml:space="preserve"> от 29 декабря 2012 г. N 273-ФЗ "Об образовании в Российской Федерации".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--------------------------------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/>
      </w:pPr>
      <w:r>
        <w:rPr>
          <w:b w:val="false"/>
        </w:rPr>
        <w:t xml:space="preserve">&lt;9&gt; Бюджетный </w:t>
      </w:r>
      <w:hyperlink r:id="rId29">
        <w:r>
          <w:rPr>
            <w:rStyle w:val="-"/>
            <w:b w:val="false"/>
            <w:strike w:val="false"/>
            <w:dstrike w:val="false"/>
            <w:color w:val="0000FF"/>
            <w:u w:val="none"/>
            <w:effect w:val="none"/>
          </w:rPr>
          <w:t>кодекс</w:t>
        </w:r>
      </w:hyperlink>
      <w:r>
        <w:rPr>
          <w:b w:val="false"/>
        </w:rPr>
        <w:t xml:space="preserve"> Российской Федерации.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ind w:left="0" w:right="0" w:firstLine="540"/>
        <w:jc w:val="both"/>
        <w:rPr>
          <w:b w:val="false"/>
        </w:rPr>
      </w:pPr>
      <w:r>
        <w:rPr>
          <w:rFonts w:ascii="Arial" w:hAnsi="Arial"/>
          <w:b/>
          <w:sz w:val="24"/>
        </w:rPr>
        <w:t>4.7. Требования к применяемым механизмам оценки качества образовательной программы:</w:t>
      </w:r>
      <w:r>
        <w:rPr>
          <w:b w:val="false"/>
        </w:rPr>
        <w:t xml:space="preserve">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а) качество образовательной программы определяется в рамках системы внутренней оценки, а также системы внешней оценки на добровольной основе;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 </w:t>
      </w:r>
    </w:p>
    <w:p>
      <w:pPr>
        <w:pStyle w:val="Style31"/>
        <w:bidi w:val="0"/>
        <w:spacing w:lineRule="atLeast" w:line="285" w:before="165" w:after="0"/>
        <w:ind w:left="0" w:right="0" w:firstLine="540"/>
        <w:jc w:val="both"/>
        <w:rPr>
          <w:b w:val="false"/>
        </w:rPr>
      </w:pPr>
      <w:r>
        <w:rPr>
          <w:b w:val="false"/>
        </w:rPr>
        <w:t xml:space="preserve"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 </w:t>
      </w:r>
    </w:p>
    <w:tbl>
      <w:tblPr>
        <w:tblW w:w="8559" w:type="dxa"/>
        <w:jc w:val="left"/>
        <w:tblInd w:w="0" w:type="dxa"/>
        <w:shd w:fill="F4F3F8" w:val="clear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8559"/>
      </w:tblGrid>
      <w:tr>
        <w:trPr/>
        <w:tc>
          <w:tcPr>
            <w:tcW w:w="8559" w:type="dxa"/>
            <w:tcBorders/>
            <w:shd w:fill="F4F3F8" w:val="clear"/>
            <w:vAlign w:val="center"/>
          </w:tcPr>
          <w:p>
            <w:pPr>
              <w:pStyle w:val="Style59"/>
              <w:pBdr/>
              <w:bidi w:val="0"/>
              <w:spacing w:lineRule="atLeast" w:line="285" w:before="0" w:after="283"/>
              <w:jc w:val="both"/>
              <w:rPr/>
            </w:pPr>
            <w:r>
              <w:rPr>
                <w:b w:val="false"/>
              </w:rPr>
              <w:t xml:space="preserve">(пп. "в" в ред. </w:t>
            </w:r>
            <w:hyperlink r:id="rId30">
              <w:r>
                <w:rPr>
                  <w:rStyle w:val="-"/>
                  <w:b w:val="false"/>
                  <w:strike w:val="false"/>
                  <w:dstrike w:val="false"/>
                  <w:color w:val="0000FF"/>
                  <w:u w:val="none"/>
                  <w:effect w:val="none"/>
                </w:rPr>
                <w:t>Приказа</w:t>
              </w:r>
            </w:hyperlink>
            <w:r>
              <w:rPr>
                <w:b w:val="false"/>
              </w:rPr>
              <w:t xml:space="preserve"> Минпросвещения России от 03.07.2024 N 464) </w:t>
            </w:r>
          </w:p>
        </w:tc>
      </w:tr>
    </w:tbl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1"/>
        <w:bidi w:val="0"/>
        <w:spacing w:lineRule="atLeast" w:line="285" w:before="0" w:after="283"/>
        <w:jc w:val="both"/>
        <w:rPr/>
      </w:pPr>
      <w:r>
        <w:rPr/>
        <w:t xml:space="preserve">  </w:t>
      </w:r>
    </w:p>
    <w:p>
      <w:pPr>
        <w:pStyle w:val="Style38"/>
        <w:bidi w:val="0"/>
        <w:rPr/>
      </w:pPr>
      <w:r>
        <w:rPr/>
      </w:r>
    </w:p>
    <w:sectPr>
      <w:headerReference w:type="default" r:id="rId31"/>
      <w:footerReference w:type="default" r:id="rId32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Arial">
    <w:charset w:val="01"/>
    <w:family w:val="auto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1">
    <w:name w:val="Маркированный "/>
    <w:qFormat/>
  </w:style>
  <w:style w:type="numbering" w:styleId="115">
    <w:name w:val="Нумерованный 1)"/>
    <w:qFormat/>
  </w:style>
  <w:style w:type="numbering" w:styleId="Style82">
    <w:name w:val="Нумерованный а)"/>
    <w:qFormat/>
  </w:style>
  <w:style w:type="numbering" w:styleId="Style83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login.consultant.ru/link/?req=doc&amp;base=LAW&amp;n=483090&amp;dst=113371&amp;field=134&amp;date=26.11.2024" TargetMode="External"/><Relationship Id="rId3" Type="http://schemas.openxmlformats.org/officeDocument/2006/relationships/hyperlink" Target="http://login.consultant.ru/link/?req=doc&amp;base=LAW&amp;n=488439&amp;dst=100051&amp;field=134&amp;date=26.11.2024" TargetMode="External"/><Relationship Id="rId4" Type="http://schemas.openxmlformats.org/officeDocument/2006/relationships/hyperlink" Target="http://login.consultant.ru/link/?req=doc&amp;base=LAW&amp;n=481262&amp;dst=100072&amp;field=134&amp;date=26.11.2024" TargetMode="External"/><Relationship Id="rId5" Type="http://schemas.openxmlformats.org/officeDocument/2006/relationships/hyperlink" Target="http://login.consultant.ru/link/?req=doc&amp;base=LAW&amp;n=429117&amp;dst=100012&amp;field=134&amp;date=26.11.2024" TargetMode="External"/><Relationship Id="rId6" Type="http://schemas.openxmlformats.org/officeDocument/2006/relationships/hyperlink" Target="http://login.consultant.ru/link/?req=doc&amp;base=LAW&amp;n=377712&amp;dst=101566&amp;field=134&amp;date=26.11.2024" TargetMode="External"/><Relationship Id="rId7" Type="http://schemas.openxmlformats.org/officeDocument/2006/relationships/hyperlink" Target="http://login.consultant.ru/link/?req=doc&amp;base=LAW&amp;n=398359&amp;dst=100012&amp;field=134&amp;date=26.11.2024" TargetMode="External"/><Relationship Id="rId8" Type="http://schemas.openxmlformats.org/officeDocument/2006/relationships/hyperlink" Target="http://login.consultant.ru/link/?req=doc&amp;base=LAW&amp;n=377712&amp;dst=101569&amp;field=134&amp;date=26.11.2024" TargetMode="External"/><Relationship Id="rId9" Type="http://schemas.openxmlformats.org/officeDocument/2006/relationships/hyperlink" Target="http://login.consultant.ru/link/?req=doc&amp;base=LAW&amp;n=483090&amp;dst=113371&amp;field=134&amp;date=26.11.2024" TargetMode="External"/><Relationship Id="rId10" Type="http://schemas.openxmlformats.org/officeDocument/2006/relationships/hyperlink" Target="http://login.consultant.ru/link/?req=doc&amp;base=LAW&amp;n=477946&amp;dst=158&amp;field=134&amp;date=26.11.2024" TargetMode="External"/><Relationship Id="rId11" Type="http://schemas.openxmlformats.org/officeDocument/2006/relationships/hyperlink" Target="http://login.consultant.ru/link/?req=doc&amp;base=LAW&amp;n=477946&amp;dst=100022&amp;field=134&amp;date=26.11.2024" TargetMode="External"/><Relationship Id="rId12" Type="http://schemas.openxmlformats.org/officeDocument/2006/relationships/hyperlink" Target="http://login.consultant.ru/link/?req=doc&amp;base=LAW&amp;n=470946&amp;dst=4&amp;field=134&amp;date=26.11.2024" TargetMode="External"/><Relationship Id="rId13" Type="http://schemas.openxmlformats.org/officeDocument/2006/relationships/hyperlink" Target="http://login.consultant.ru/link/?req=doc&amp;base=LAW&amp;n=483090&amp;dst=113372&amp;field=134&amp;date=26.11.2024" TargetMode="External"/><Relationship Id="rId14" Type="http://schemas.openxmlformats.org/officeDocument/2006/relationships/hyperlink" Target="http://login.consultant.ru/link/?req=doc&amp;base=LAW&amp;n=470946&amp;dst=4&amp;field=134&amp;date=26.11.2024" TargetMode="External"/><Relationship Id="rId15" Type="http://schemas.openxmlformats.org/officeDocument/2006/relationships/hyperlink" Target="http://login.consultant.ru/link/?req=doc&amp;base=LAW&amp;n=483090&amp;dst=113373&amp;field=134&amp;date=26.11.2024" TargetMode="External"/><Relationship Id="rId16" Type="http://schemas.openxmlformats.org/officeDocument/2006/relationships/hyperlink" Target="http://login.consultant.ru/link/?req=doc&amp;base=LAW&amp;n=470336&amp;dst=774&amp;field=134&amp;date=26.11.2024" TargetMode="External"/><Relationship Id="rId17" Type="http://schemas.openxmlformats.org/officeDocument/2006/relationships/hyperlink" Target="http://login.consultant.ru/link/?req=doc&amp;base=LAW&amp;n=470336&amp;dst=100249&amp;field=134&amp;date=26.11.2024" TargetMode="External"/><Relationship Id="rId18" Type="http://schemas.openxmlformats.org/officeDocument/2006/relationships/hyperlink" Target="http://login.consultant.ru/link/?req=doc&amp;base=LAW&amp;n=411930&amp;dst=100030&amp;field=134&amp;date=26.11.2024" TargetMode="External"/><Relationship Id="rId19" Type="http://schemas.openxmlformats.org/officeDocument/2006/relationships/hyperlink" Target="http://login.consultant.ru/link/?req=doc&amp;base=LAW&amp;n=214720&amp;dst=100064&amp;field=134&amp;date=26.11.2024" TargetMode="External"/><Relationship Id="rId20" Type="http://schemas.openxmlformats.org/officeDocument/2006/relationships/hyperlink" Target="http://login.consultant.ru/link/?req=doc&amp;base=LAW&amp;n=214720&amp;dst=100114&amp;field=134&amp;date=26.11.2024" TargetMode="External"/><Relationship Id="rId21" Type="http://schemas.openxmlformats.org/officeDocument/2006/relationships/hyperlink" Target="http://login.consultant.ru/link/?req=doc&amp;base=LAW&amp;n=214720&amp;dst=100047&amp;field=134&amp;date=26.11.2024" TargetMode="External"/><Relationship Id="rId22" Type="http://schemas.openxmlformats.org/officeDocument/2006/relationships/hyperlink" Target="http://login.consultant.ru/link/?req=doc&amp;base=LAW&amp;n=483090&amp;dst=113374&amp;field=134&amp;date=26.11.2024" TargetMode="External"/><Relationship Id="rId23" Type="http://schemas.openxmlformats.org/officeDocument/2006/relationships/hyperlink" Target="http://login.consultant.ru/link/?req=doc&amp;base=LAW&amp;n=470336&amp;dst=415&amp;field=134&amp;date=26.11.2024" TargetMode="External"/><Relationship Id="rId24" Type="http://schemas.openxmlformats.org/officeDocument/2006/relationships/hyperlink" Target="http://login.consultant.ru/link/?req=doc&amp;base=LAW&amp;n=483030&amp;date=26.11.2024" TargetMode="External"/><Relationship Id="rId25" Type="http://schemas.openxmlformats.org/officeDocument/2006/relationships/hyperlink" Target="http://login.consultant.ru/link/?req=doc&amp;base=LAW&amp;n=371594&amp;dst=100047&amp;field=134&amp;date=26.11.2024" TargetMode="External"/><Relationship Id="rId26" Type="http://schemas.openxmlformats.org/officeDocument/2006/relationships/hyperlink" Target="http://login.consultant.ru/link/?req=doc&amp;base=LAW&amp;n=367564&amp;dst=100037&amp;field=134&amp;date=26.11.2024" TargetMode="External"/><Relationship Id="rId27" Type="http://schemas.openxmlformats.org/officeDocument/2006/relationships/hyperlink" Target="http://login.consultant.ru/link/?req=doc&amp;base=LAW&amp;n=441707&amp;dst=100137&amp;field=134&amp;date=26.11.2024" TargetMode="External"/><Relationship Id="rId28" Type="http://schemas.openxmlformats.org/officeDocument/2006/relationships/hyperlink" Target="http://login.consultant.ru/link/?req=doc&amp;base=LAW&amp;n=470336&amp;date=26.11.2024" TargetMode="External"/><Relationship Id="rId29" Type="http://schemas.openxmlformats.org/officeDocument/2006/relationships/hyperlink" Target="http://login.consultant.ru/link/?req=doc&amp;base=LAW&amp;n=469774&amp;date=26.11.2024" TargetMode="External"/><Relationship Id="rId30" Type="http://schemas.openxmlformats.org/officeDocument/2006/relationships/hyperlink" Target="http://login.consultant.ru/link/?req=doc&amp;base=LAW&amp;n=483090&amp;dst=113396&amp;field=134&amp;date=26.11.2024" TargetMode="External"/><Relationship Id="rId31" Type="http://schemas.openxmlformats.org/officeDocument/2006/relationships/header" Target="header1.xml"/><Relationship Id="rId32" Type="http://schemas.openxmlformats.org/officeDocument/2006/relationships/footer" Target="footer1.xml"/><Relationship Id="rId33" Type="http://schemas.openxmlformats.org/officeDocument/2006/relationships/numbering" Target="numbering.xml"/><Relationship Id="rId34" Type="http://schemas.openxmlformats.org/officeDocument/2006/relationships/fontTable" Target="fontTable.xml"/><Relationship Id="rId3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LibreOffice/7.5.6.2$Linux_X86_64 LibreOffice_project/50$Build-2</Application>
  <AppVersion>15.0000</AppVersion>
  <Pages>22</Pages>
  <Words>4538</Words>
  <Characters>34894</Characters>
  <CharactersWithSpaces>39507</CharactersWithSpaces>
  <Paragraphs>294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2024-11-26T11:23:03Z</dcterms:created>
  <dc:creator/>
  <dc:description/>
  <dc:language>ru-RU</dc:language>
  <cp:lastModifiedBy/>
  <dcterms:modified xsi:type="dcterms:W3CDTF">2024-11-26T11:23:51Z</dcterms:modified>
  <cp:revision>2</cp:revision>
  <dc:subject/>
  <dc:title>Default</dc:title>
</cp:coreProperties>
</file>